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C0A91" w:rsidRDefault="000468D3">
      <w:pPr>
        <w:pStyle w:val="10"/>
        <w:jc w:val="right"/>
      </w:pPr>
      <w:r>
        <w:rPr>
          <w:rFonts w:ascii="Georgia" w:eastAsia="Georgia" w:hAnsi="Georgia" w:cs="Georgia"/>
          <w:color w:val="141414"/>
          <w:shd w:val="clear" w:color="auto" w:fill="FCFCFF"/>
        </w:rPr>
        <w:t>В Городскую комиссию по вопросам градостроительства,</w:t>
      </w:r>
    </w:p>
    <w:p w:rsidR="003C0A91" w:rsidRDefault="000468D3">
      <w:pPr>
        <w:pStyle w:val="10"/>
        <w:jc w:val="right"/>
      </w:pPr>
      <w:r>
        <w:rPr>
          <w:rFonts w:ascii="Georgia" w:eastAsia="Georgia" w:hAnsi="Georgia" w:cs="Georgia"/>
          <w:color w:val="141414"/>
          <w:shd w:val="clear" w:color="auto" w:fill="FCFCFF"/>
        </w:rPr>
        <w:t>землепользования и застройки при Правительстве Москвы</w:t>
      </w:r>
    </w:p>
    <w:p w:rsidR="003C0A91" w:rsidRDefault="000468D3">
      <w:pPr>
        <w:pStyle w:val="10"/>
        <w:jc w:val="right"/>
      </w:pPr>
      <w:r>
        <w:rPr>
          <w:rFonts w:ascii="Georgia" w:eastAsia="Georgia" w:hAnsi="Georgia" w:cs="Georgia"/>
          <w:color w:val="141414"/>
          <w:shd w:val="clear" w:color="auto" w:fill="FCFCFF"/>
        </w:rPr>
        <w:t>117042, г. Москва, ул. Аллея Витте, д. 5</w:t>
      </w:r>
    </w:p>
    <w:p w:rsidR="003C0A91" w:rsidRDefault="003C0A91">
      <w:pPr>
        <w:pStyle w:val="10"/>
        <w:jc w:val="right"/>
      </w:pPr>
    </w:p>
    <w:p w:rsidR="003C0A91" w:rsidRDefault="000468D3">
      <w:pPr>
        <w:pStyle w:val="10"/>
        <w:jc w:val="right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Префекту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ТиНАО</w:t>
      </w:r>
      <w:proofErr w:type="spellEnd"/>
    </w:p>
    <w:p w:rsidR="003C0A91" w:rsidRDefault="000468D3">
      <w:pPr>
        <w:pStyle w:val="10"/>
        <w:jc w:val="right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г-ну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Д.В.Набокину</w:t>
      </w:r>
      <w:proofErr w:type="spellEnd"/>
    </w:p>
    <w:p w:rsidR="003C0A91" w:rsidRDefault="003C0A91">
      <w:pPr>
        <w:pStyle w:val="10"/>
      </w:pPr>
    </w:p>
    <w:p w:rsidR="003C0A91" w:rsidRDefault="003C0A91">
      <w:pPr>
        <w:pStyle w:val="10"/>
      </w:pPr>
    </w:p>
    <w:p w:rsidR="003C0A91" w:rsidRDefault="000468D3">
      <w:pPr>
        <w:pStyle w:val="10"/>
        <w:jc w:val="both"/>
      </w:pP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В ходе ознакомления с материалами Публичных слушаний по Проекту «Территориальная схема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Новомосковского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административного округа г. Москвы» (далее – Проект), по результатам проведения публичных слушаний в микрорайоне «Солнцево Парк 05.03.2015 г., жители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отмечают, что отдельные положения Проекта существенно противоречат как интересам жителей, так и действующим нормам и принципам градостроительной политики, в т.ч. озвученным первыми лицами руководства г. Москвы в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процессе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присоединения новых территорий, установкам Мэра г. Москвы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С.С.Собянина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, нашедшим своё отражение в прессе, на телевидении и в иных средствах массовой информации.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С учётом изложенного, жители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считают представленный к рассмотрению на Публичные слушания Проект концептуально ошибочным и требующим предметной переработки на основе включения в него обоснованных требований большинства жителей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, а именно: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1.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С учётом насущной необходимости сохранения экологии «зелёных лёгких» г. Москвы, в целях обеспечения комфортного проживания населения, перенасыщенными транспортными потоками новыми высотным жилыми застройками, исключить в полном объёме на территории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строительство средне- и многоэтажных жилых домов и комплексов, ограничив возможное жилое строительство малоэтажной застройкой, высотой не более 3 (трёх) этажей.</w:t>
      </w:r>
      <w:proofErr w:type="gramEnd"/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2. На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имеющихся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на настоящий момент свободных от застройки территориях, находящихся в Московской городской, муниципальной и частной собственности (в коммерческих целях) предусмотреть разрешенное строительство только производственных и иных строений и комплексов, обеспечивающих занятость населения, что в полной мере будет способствовать снижению транспортных потоков и уменьшению транспортной нагрузки на действующие и планируемые к строительству автомагистрали и дорожную сеть в целом.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>3. Имеющуюся в эксплуатации дорожную сеть сохранить в действующем объёме, с учётом возможной реконструкции без увеличения количества полос движения автотранспорта, исключить её перепрофилирование в транзитные и хордовые магистрали,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в т.ч.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шоссе – автодорогу местного муниципального значения.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lastRenderedPageBreak/>
        <w:t>4. В качестве первоочередной задачи включить в Проект обустройство дорожных развязок, обеспечивающих эффективные въезд-выезд в микрорайоны «Солнцево Парк» и «Переделкино Ближнее», обустройство дорожной сети в них с учётом движения общедоступного городского пассажирского автотранспорта.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5.1.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Исключить из Проекта прохождение хордовой транзитной магистрали через микрорайон «Переделкино Ближнее», в непосредственной близости от жилых домов и крупнейшей в России коррекционной школы и жилых домов, неправомерно (ошибочно) обозначенной в Проекте в составе хордовой трассы Видное-Бутово-Солнцево-Внуково в черте «Переделкино Ближнее» как улица районного значения, переориентировав направление трассы вдоль (в составе) Боровского шоссе и далее, за гипермаркетом «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Зельгросс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», через фактически уничтоженную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типографом территорию лесного массива в сторону железнодорожного полотна ж\д Киевского направления с дальнейшим обустройством транзитной эстакады на Минском шоссе.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5.2.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В рамках проектировки вышеуказанной хордовой трассы, планируемой на своём протяжении от 4 до 8 полос движения автотранспорта, исключить фактор «бутылочного горлышка», создаваемого на стадии проектирования в точке её присоединения к строящейся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Внуковской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двухполосной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эстакаде, предусмотрев завершение трассы на Минском шоссе автономной транспортной развязкой на участке от станции «Мичуринец» до ст. «Внуково» Киевской железной дороги, корригированной с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Внуковской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эстакадой, что поможет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сократить на 25% запланированную вырубку, избежать предусмотренного Проектом создания автомобильных пробок.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>5.3. Во избежание значительного экологического ущерба,</w:t>
      </w:r>
      <w:r>
        <w:rPr>
          <w:rFonts w:ascii="Times New Roman" w:eastAsia="Times New Roman" w:hAnsi="Times New Roman" w:cs="Times New Roman"/>
          <w:color w:val="141414"/>
          <w:sz w:val="24"/>
          <w:shd w:val="clear" w:color="auto" w:fill="FCFCFF"/>
        </w:rPr>
        <w:t xml:space="preserve"> исключить из Проекта участок магистрали общегородского значения  «Солнцево-Бутово-Видное» от Боровского шоссе до Киевского шоссе, через Ульяновский лесопарк,</w:t>
      </w:r>
      <w:r>
        <w:rPr>
          <w:rFonts w:ascii="Georgia" w:eastAsia="Georgia" w:hAnsi="Georgia" w:cs="Georgia"/>
          <w:color w:val="141414"/>
          <w:shd w:val="clear" w:color="auto" w:fill="FCFCFF"/>
        </w:rPr>
        <w:t xml:space="preserve"> строительство которого, вместе с поперечными связками, приведет к фактическому уничтожению этого участка леса. Придать территории Ульяновского лесопарка, расположенной в границах Киевского и Боровского шоссе, статус особо охраняемой природной территории с устройством на этой территории парка общегородского значения.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5.4. Одновременно рассмотреть, с  учетом мнения жителей р-на Ново-Переделкино ЗАО, возможность завершения автодороги Солнцево-Бутово-Видное на перекрестке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ул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.Н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>овоорловской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и Шолохова. Во избежание перегрузки автомобильного движения в районе ТПУ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Рассказовка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, отказаться от продления указанной автодороги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до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данного ТПУ. Вместе с тем, в соответствии с приоритетом развития общественного транспорта,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обеспечить связь ТПУ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Рассказовка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с ТПУ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Саларьево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и направлением движения в сторону Бутово путем прокладки маршрута скоростного трамвая, в том числе, через территорию Ново-Переделкино, по границе лесного массива.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6. Все населённые пункты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, на основе специфики присоединённых территорий, должны быть Проектом сохранены в существующих границах и обеспечены всеми видами коммунального обслуживания, с учётом современных требований в этом вопросе.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lastRenderedPageBreak/>
        <w:t xml:space="preserve">7.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Формирование социальной инфраструктуры в населённых пунктах, примыкающих к Боровскому шоссе Проектом необходимо предусмотреть в черте имеющейся и производимой застройки в соответствии с действующими градостроительными нормативами (Солнцево Парк, Переделкино Ближнее); по населённым пунктам, примыкающим к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Внуковской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автодороге, объекты социальной инфраструктуры в основном имеются и должны сохраниться и модернизироваться (в т.ч. в пос.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Минвнешторга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)</w:t>
      </w:r>
      <w:proofErr w:type="gramEnd"/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8. Территорию Детского дома «Молодая гвардия», размещённого в границах памятника архитектуры «Усадьба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Изварино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», исключить из состава территорий, подлежащих новому строительству, за исключением объектов, обеспечивающих нужды воспитанников Детского дома, их социальную и профессиональную адаптацию.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9.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Включить в состав Проекта мероприятия, обеспечивающие сохранение окружающей природной среды поселения за счёт создания рекреационной среды территорий, особо охраняемых территорий (лесные массивы, водные объекты: река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Ликова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и её пойма, природные пруды и источники, курганы неолита и пр.).</w:t>
      </w:r>
      <w:proofErr w:type="gramEnd"/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10. Как инновацию, предусмотреть в Проекте обустройство велодорожек вдоль основных коммуникационных автодорожных трасс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и внутри микрорайонов «Солнцево Парк» и «Переделкино Ближнее».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12. Поддерживая инициативу Правительства г. Москвы, положительно себя зарекомендовавшую в черте МКАД и в новостройках, в микрорайонах «Переделкино Ближнее» и «Солнцево Парк» в первоочередном порядке предусмотреть обустройство гостевых автостоянок на дворовых территориях, обеспечивающих парковку личного автотранспорта, не загромождающую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междудомовых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проездов.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13. Включить в Проект мероприятия по восстановлению и обустройству противопожарных проездов и прудов в населённых пунктах и в лесных массивах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>Всего: подписных листов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 - ______; 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>подписей жителей - ______.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>Итого: на ____ листах.</w:t>
      </w:r>
    </w:p>
    <w:p w:rsidR="003C0A91" w:rsidRDefault="003C0A91">
      <w:pPr>
        <w:pStyle w:val="10"/>
      </w:pPr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>Верно:</w:t>
      </w:r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>Координаторы: представители инициативной Группы жителей дома №8 по адресу ул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.А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нны Ахматовой, д.8 </w:t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</w:p>
    <w:p w:rsidR="003C0A91" w:rsidRDefault="000468D3">
      <w:pPr>
        <w:pStyle w:val="10"/>
        <w:ind w:left="6480"/>
      </w:pPr>
      <w:r>
        <w:rPr>
          <w:rFonts w:ascii="Georgia" w:eastAsia="Georgia" w:hAnsi="Georgia" w:cs="Georgia"/>
          <w:color w:val="141414"/>
          <w:shd w:val="clear" w:color="auto" w:fill="FCFCFF"/>
        </w:rPr>
        <w:t>______/П.Е. Сенченко/</w:t>
      </w:r>
    </w:p>
    <w:p w:rsidR="003C0A91" w:rsidRDefault="000468D3">
      <w:pPr>
        <w:pStyle w:val="10"/>
        <w:ind w:left="6480"/>
      </w:pPr>
      <w:r>
        <w:rPr>
          <w:rFonts w:ascii="Georgia" w:eastAsia="Georgia" w:hAnsi="Georgia" w:cs="Georgia"/>
          <w:color w:val="141414"/>
          <w:shd w:val="clear" w:color="auto" w:fill="FCFCFF"/>
        </w:rPr>
        <w:t>______/М.Д.Яблоков/</w:t>
      </w:r>
    </w:p>
    <w:p w:rsidR="003C0A91" w:rsidRDefault="003C0A91">
      <w:pPr>
        <w:pStyle w:val="10"/>
        <w:ind w:left="6480"/>
      </w:pPr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9 марта 2015 г. </w:t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  <w:t>г. Москва</w:t>
      </w:r>
    </w:p>
    <w:p w:rsidR="003C0A91" w:rsidRDefault="003C0A91">
      <w:pPr>
        <w:pStyle w:val="10"/>
      </w:pPr>
    </w:p>
    <w:p w:rsidR="003C0A91" w:rsidRDefault="003C0A91">
      <w:pPr>
        <w:pStyle w:val="10"/>
      </w:pPr>
    </w:p>
    <w:p w:rsidR="000468D3" w:rsidRDefault="000468D3">
      <w:pPr>
        <w:pStyle w:val="10"/>
        <w:sectPr w:rsidR="000468D3" w:rsidSect="003C0A91">
          <w:foot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</w:sectPr>
      </w:pPr>
    </w:p>
    <w:p w:rsidR="003C0A91" w:rsidRDefault="003C0A91">
      <w:pPr>
        <w:pStyle w:val="10"/>
      </w:pPr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>ПОДПИСНОЙ ЛИСТ</w:t>
      </w:r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к обращению жителей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по материалам Публичных слушаний по Проекту территориальной схемы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>05.03.2015 г. г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.М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>осква</w:t>
      </w:r>
    </w:p>
    <w:p w:rsidR="003C0A91" w:rsidRDefault="003C0A91">
      <w:pPr>
        <w:pStyle w:val="10"/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701"/>
        <w:gridCol w:w="2835"/>
        <w:gridCol w:w="2396"/>
        <w:gridCol w:w="2140"/>
        <w:gridCol w:w="1444"/>
      </w:tblGrid>
      <w:tr w:rsidR="00364C5E" w:rsidTr="006213AA">
        <w:trPr>
          <w:trHeight w:val="1418"/>
        </w:trPr>
        <w:tc>
          <w:tcPr>
            <w:tcW w:w="675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>№</w:t>
            </w:r>
          </w:p>
        </w:tc>
        <w:tc>
          <w:tcPr>
            <w:tcW w:w="1985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>ФИО</w:t>
            </w:r>
          </w:p>
        </w:tc>
        <w:tc>
          <w:tcPr>
            <w:tcW w:w="1701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color w:val="222222"/>
                <w:sz w:val="20"/>
                <w:highlight w:val="white"/>
              </w:rPr>
              <w:t>Паспортные данные/</w:t>
            </w:r>
            <w:proofErr w:type="spellStart"/>
            <w:r w:rsidRPr="001C3123">
              <w:rPr>
                <w:b/>
                <w:color w:val="222222"/>
                <w:sz w:val="20"/>
                <w:highlight w:val="white"/>
              </w:rPr>
              <w:t>Св</w:t>
            </w:r>
            <w:proofErr w:type="spellEnd"/>
            <w:r w:rsidRPr="001C3123">
              <w:rPr>
                <w:b/>
                <w:color w:val="222222"/>
                <w:sz w:val="20"/>
                <w:highlight w:val="white"/>
              </w:rPr>
              <w:t>-во о рождении (серия, номер)</w:t>
            </w:r>
          </w:p>
        </w:tc>
        <w:tc>
          <w:tcPr>
            <w:tcW w:w="2835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 xml:space="preserve">Кем </w:t>
            </w:r>
            <w:proofErr w:type="gramStart"/>
            <w:r w:rsidRPr="001C3123">
              <w:rPr>
                <w:b/>
                <w:sz w:val="20"/>
              </w:rPr>
              <w:t>выдан</w:t>
            </w:r>
            <w:proofErr w:type="gramEnd"/>
          </w:p>
        </w:tc>
        <w:tc>
          <w:tcPr>
            <w:tcW w:w="2396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>Место жительства/</w:t>
            </w:r>
            <w:r w:rsidRPr="001C3123">
              <w:rPr>
                <w:b/>
                <w:color w:val="222222"/>
                <w:sz w:val="20"/>
                <w:highlight w:val="white"/>
              </w:rPr>
              <w:t xml:space="preserve"> Правоустанавливающие документы</w:t>
            </w:r>
          </w:p>
        </w:tc>
        <w:tc>
          <w:tcPr>
            <w:tcW w:w="2140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color w:val="222222"/>
                <w:sz w:val="20"/>
                <w:highlight w:val="white"/>
              </w:rPr>
              <w:t>телефон</w:t>
            </w:r>
          </w:p>
        </w:tc>
        <w:tc>
          <w:tcPr>
            <w:tcW w:w="1444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color w:val="222222"/>
                <w:sz w:val="20"/>
                <w:highlight w:val="white"/>
              </w:rPr>
              <w:t>Подпись</w:t>
            </w:r>
          </w:p>
        </w:tc>
      </w:tr>
      <w:tr w:rsidR="00364C5E" w:rsidTr="006213AA">
        <w:trPr>
          <w:trHeight w:val="1418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  <w:tr w:rsidR="00364C5E" w:rsidTr="006213AA">
        <w:trPr>
          <w:trHeight w:val="1418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  <w:tr w:rsidR="00364C5E" w:rsidTr="006213AA">
        <w:trPr>
          <w:trHeight w:val="1418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  <w:tr w:rsidR="00364C5E" w:rsidTr="006213AA">
        <w:trPr>
          <w:trHeight w:val="1418"/>
        </w:trPr>
        <w:tc>
          <w:tcPr>
            <w:tcW w:w="675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lastRenderedPageBreak/>
              <w:t>№</w:t>
            </w:r>
          </w:p>
        </w:tc>
        <w:tc>
          <w:tcPr>
            <w:tcW w:w="1985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>ФИО</w:t>
            </w:r>
          </w:p>
        </w:tc>
        <w:tc>
          <w:tcPr>
            <w:tcW w:w="1701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color w:val="222222"/>
                <w:sz w:val="20"/>
                <w:highlight w:val="white"/>
              </w:rPr>
              <w:t>Паспортные данные/</w:t>
            </w:r>
            <w:proofErr w:type="spellStart"/>
            <w:r w:rsidRPr="001C3123">
              <w:rPr>
                <w:b/>
                <w:color w:val="222222"/>
                <w:sz w:val="20"/>
                <w:highlight w:val="white"/>
              </w:rPr>
              <w:t>Св</w:t>
            </w:r>
            <w:proofErr w:type="spellEnd"/>
            <w:r w:rsidRPr="001C3123">
              <w:rPr>
                <w:b/>
                <w:color w:val="222222"/>
                <w:sz w:val="20"/>
                <w:highlight w:val="white"/>
              </w:rPr>
              <w:t>-во о рождении (серия, номер)</w:t>
            </w:r>
          </w:p>
        </w:tc>
        <w:tc>
          <w:tcPr>
            <w:tcW w:w="2835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 xml:space="preserve">Кем </w:t>
            </w:r>
            <w:proofErr w:type="gramStart"/>
            <w:r w:rsidRPr="001C3123">
              <w:rPr>
                <w:b/>
                <w:sz w:val="20"/>
              </w:rPr>
              <w:t>выдан</w:t>
            </w:r>
            <w:proofErr w:type="gramEnd"/>
          </w:p>
        </w:tc>
        <w:tc>
          <w:tcPr>
            <w:tcW w:w="2396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>Место жительства/</w:t>
            </w:r>
            <w:r w:rsidRPr="001C3123">
              <w:rPr>
                <w:b/>
                <w:color w:val="222222"/>
                <w:sz w:val="20"/>
                <w:highlight w:val="white"/>
              </w:rPr>
              <w:t xml:space="preserve"> Правоустанавливающие документы</w:t>
            </w:r>
          </w:p>
        </w:tc>
        <w:tc>
          <w:tcPr>
            <w:tcW w:w="2140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color w:val="222222"/>
                <w:sz w:val="20"/>
                <w:highlight w:val="white"/>
              </w:rPr>
              <w:t>телефон</w:t>
            </w:r>
          </w:p>
        </w:tc>
        <w:tc>
          <w:tcPr>
            <w:tcW w:w="1444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color w:val="222222"/>
                <w:sz w:val="20"/>
                <w:highlight w:val="white"/>
              </w:rPr>
              <w:t>Подпись</w:t>
            </w:r>
          </w:p>
        </w:tc>
      </w:tr>
      <w:tr w:rsidR="00364C5E" w:rsidTr="006213AA">
        <w:trPr>
          <w:trHeight w:val="1418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  <w:tr w:rsidR="00364C5E" w:rsidTr="006213AA">
        <w:trPr>
          <w:trHeight w:val="1418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  <w:tr w:rsidR="00364C5E" w:rsidTr="006213AA">
        <w:trPr>
          <w:trHeight w:val="1418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  <w:tr w:rsidR="00364C5E" w:rsidTr="006213AA">
        <w:trPr>
          <w:trHeight w:val="1418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  <w:tr w:rsidR="00364C5E" w:rsidTr="006213AA">
        <w:trPr>
          <w:trHeight w:val="1418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</w:tbl>
    <w:p w:rsidR="00364C5E" w:rsidRDefault="00364C5E" w:rsidP="00364C5E">
      <w:pPr>
        <w:pStyle w:val="10"/>
        <w:rPr>
          <w:rFonts w:ascii="Georgia" w:eastAsia="Georgia" w:hAnsi="Georgia" w:cs="Georgia"/>
          <w:color w:val="141414"/>
          <w:shd w:val="clear" w:color="auto" w:fill="FCFCFF"/>
        </w:rPr>
      </w:pPr>
      <w:bookmarkStart w:id="0" w:name="_GoBack"/>
      <w:bookmarkEnd w:id="0"/>
    </w:p>
    <w:sectPr w:rsidR="00364C5E" w:rsidSect="000468D3">
      <w:pgSz w:w="15840" w:h="12240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7E5" w:rsidRDefault="00C857E5" w:rsidP="00364C5E">
      <w:pPr>
        <w:spacing w:line="240" w:lineRule="auto"/>
      </w:pPr>
      <w:r>
        <w:separator/>
      </w:r>
    </w:p>
  </w:endnote>
  <w:endnote w:type="continuationSeparator" w:id="0">
    <w:p w:rsidR="00C857E5" w:rsidRDefault="00C857E5" w:rsidP="00364C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C5E" w:rsidRDefault="00364C5E" w:rsidP="00364C5E">
    <w:pPr>
      <w:pStyle w:val="10"/>
      <w:spacing w:line="336" w:lineRule="auto"/>
    </w:pPr>
    <w:r>
      <w:rPr>
        <w:rFonts w:ascii="Georgia" w:eastAsia="Georgia" w:hAnsi="Georgia" w:cs="Georgia"/>
        <w:color w:val="141414"/>
        <w:shd w:val="clear" w:color="auto" w:fill="FCFCFF"/>
      </w:rPr>
      <w:t>Верно:_____________________           ________________          ____________</w:t>
    </w:r>
  </w:p>
  <w:p w:rsidR="00364C5E" w:rsidRDefault="00364C5E" w:rsidP="00364C5E">
    <w:pPr>
      <w:pStyle w:val="10"/>
      <w:spacing w:line="336" w:lineRule="auto"/>
      <w:jc w:val="right"/>
    </w:pPr>
    <w:r>
      <w:rPr>
        <w:rFonts w:ascii="Georgia" w:eastAsia="Georgia" w:hAnsi="Georgia" w:cs="Georgia"/>
        <w:color w:val="141414"/>
        <w:shd w:val="clear" w:color="auto" w:fill="FCFCFF"/>
      </w:rPr>
      <w:t xml:space="preserve">                  \Ф.И.О.\                                                     \Тел.\                             \Подпись\</w:t>
    </w:r>
  </w:p>
  <w:p w:rsidR="00364C5E" w:rsidRDefault="00364C5E" w:rsidP="00364C5E">
    <w:pPr>
      <w:pStyle w:val="10"/>
      <w:jc w:val="right"/>
    </w:pPr>
  </w:p>
  <w:p w:rsidR="00364C5E" w:rsidRDefault="00364C5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7E5" w:rsidRDefault="00C857E5" w:rsidP="00364C5E">
      <w:pPr>
        <w:spacing w:line="240" w:lineRule="auto"/>
      </w:pPr>
      <w:r>
        <w:separator/>
      </w:r>
    </w:p>
  </w:footnote>
  <w:footnote w:type="continuationSeparator" w:id="0">
    <w:p w:rsidR="00C857E5" w:rsidRDefault="00C857E5" w:rsidP="00364C5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A91"/>
    <w:rsid w:val="000468D3"/>
    <w:rsid w:val="00364C5E"/>
    <w:rsid w:val="003C0A91"/>
    <w:rsid w:val="00C8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3C0A91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10"/>
    <w:next w:val="10"/>
    <w:rsid w:val="003C0A91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10"/>
    <w:next w:val="10"/>
    <w:rsid w:val="003C0A91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10"/>
    <w:next w:val="10"/>
    <w:rsid w:val="003C0A91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10"/>
    <w:next w:val="10"/>
    <w:rsid w:val="003C0A91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10"/>
    <w:next w:val="10"/>
    <w:rsid w:val="003C0A91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C0A91"/>
  </w:style>
  <w:style w:type="table" w:customStyle="1" w:styleId="TableNormal">
    <w:name w:val="Table Normal"/>
    <w:rsid w:val="003C0A9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3C0A91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10"/>
    <w:next w:val="10"/>
    <w:rsid w:val="003C0A91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5">
    <w:basedOn w:val="TableNormal"/>
    <w:rsid w:val="003C0A9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a1"/>
    <w:uiPriority w:val="59"/>
    <w:rsid w:val="00364C5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64C5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64C5E"/>
  </w:style>
  <w:style w:type="paragraph" w:styleId="a9">
    <w:name w:val="footer"/>
    <w:basedOn w:val="a"/>
    <w:link w:val="aa"/>
    <w:uiPriority w:val="99"/>
    <w:unhideWhenUsed/>
    <w:rsid w:val="00364C5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64C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1172</Words>
  <Characters>6681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Рябов Максим Александрович</dc:creator>
  <cp:lastModifiedBy>Senchenko Pavel</cp:lastModifiedBy>
  <cp:revision>3</cp:revision>
  <dcterms:created xsi:type="dcterms:W3CDTF">2015-03-10T12:33:00Z</dcterms:created>
  <dcterms:modified xsi:type="dcterms:W3CDTF">2015-03-10T12:43:00Z</dcterms:modified>
</cp:coreProperties>
</file>